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E9" w:rsidRPr="007F29BA" w:rsidRDefault="001B71E9" w:rsidP="001B71E9">
      <w:pPr>
        <w:pStyle w:val="Pucetableau"/>
        <w:numPr>
          <w:ilvl w:val="0"/>
          <w:numId w:val="0"/>
        </w:numPr>
        <w:rPr>
          <w:rFonts w:ascii="Arial" w:hAnsi="Arial" w:cs="Arial"/>
          <w:color w:val="FF0000"/>
        </w:rPr>
      </w:pPr>
      <w:r w:rsidRPr="007F29BA">
        <w:rPr>
          <w:rFonts w:ascii="Arial" w:hAnsi="Arial" w:cs="Arial"/>
          <w:color w:val="FF0000"/>
          <w:highlight w:val="yellow"/>
        </w:rPr>
        <w:t>N.B. :</w:t>
      </w:r>
      <w:r>
        <w:rPr>
          <w:rFonts w:ascii="Arial" w:hAnsi="Arial" w:cs="Arial"/>
          <w:color w:val="FF0000"/>
          <w:highlight w:val="yellow"/>
        </w:rPr>
        <w:t xml:space="preserve"> I</w:t>
      </w:r>
      <w:r w:rsidRPr="007F29BA">
        <w:rPr>
          <w:rFonts w:ascii="Arial" w:hAnsi="Arial" w:cs="Arial"/>
          <w:color w:val="FF0000"/>
          <w:highlight w:val="yellow"/>
        </w:rPr>
        <w:t>l est fortement conseillé d’</w:t>
      </w:r>
      <w:r>
        <w:rPr>
          <w:rFonts w:ascii="Arial" w:hAnsi="Arial" w:cs="Arial"/>
          <w:color w:val="FF0000"/>
          <w:highlight w:val="yellow"/>
        </w:rPr>
        <w:t>adapter</w:t>
      </w:r>
      <w:r w:rsidRPr="007F29BA">
        <w:rPr>
          <w:rFonts w:ascii="Arial" w:hAnsi="Arial" w:cs="Arial"/>
          <w:color w:val="FF0000"/>
          <w:highlight w:val="yellow"/>
        </w:rPr>
        <w:t xml:space="preserve"> et d’enrichir cet</w:t>
      </w:r>
      <w:r>
        <w:rPr>
          <w:rFonts w:ascii="Arial" w:hAnsi="Arial" w:cs="Arial"/>
          <w:color w:val="FF0000"/>
          <w:highlight w:val="yellow"/>
        </w:rPr>
        <w:t>te</w:t>
      </w:r>
      <w:r w:rsidRPr="007F29BA">
        <w:rPr>
          <w:rFonts w:ascii="Arial" w:hAnsi="Arial" w:cs="Arial"/>
          <w:color w:val="FF0000"/>
          <w:highlight w:val="yellow"/>
        </w:rPr>
        <w:t xml:space="preserve"> proposition d’argumentaire à partir et de données liées à votre contexte ou la vie de votre structure : données précise</w:t>
      </w:r>
      <w:r>
        <w:rPr>
          <w:rFonts w:ascii="Arial" w:hAnsi="Arial" w:cs="Arial"/>
          <w:color w:val="FF0000"/>
          <w:highlight w:val="yellow"/>
        </w:rPr>
        <w:t>s</w:t>
      </w:r>
      <w:r w:rsidRPr="007F29BA">
        <w:rPr>
          <w:rFonts w:ascii="Arial" w:hAnsi="Arial" w:cs="Arial"/>
          <w:color w:val="FF0000"/>
          <w:highlight w:val="yellow"/>
        </w:rPr>
        <w:t xml:space="preserve"> sur les besoins de vos </w:t>
      </w:r>
      <w:r w:rsidRPr="00B969C9">
        <w:rPr>
          <w:rFonts w:ascii="Arial" w:hAnsi="Arial" w:cs="Arial"/>
          <w:color w:val="FF0000"/>
          <w:highlight w:val="yellow"/>
        </w:rPr>
        <w:t>publics ou de votre territoire, expériences locales,</w:t>
      </w:r>
      <w:r>
        <w:rPr>
          <w:rFonts w:ascii="Arial" w:hAnsi="Arial" w:cs="Arial"/>
          <w:color w:val="FF0000"/>
          <w:highlight w:val="yellow"/>
        </w:rPr>
        <w:t xml:space="preserve"> graphiques ou</w:t>
      </w:r>
      <w:r w:rsidRPr="00B969C9">
        <w:rPr>
          <w:rFonts w:ascii="Arial" w:hAnsi="Arial" w:cs="Arial"/>
          <w:color w:val="FF0000"/>
          <w:highlight w:val="yellow"/>
        </w:rPr>
        <w:t xml:space="preserve"> tableaux</w:t>
      </w:r>
      <w:r>
        <w:rPr>
          <w:rFonts w:ascii="Arial" w:hAnsi="Arial" w:cs="Arial"/>
          <w:color w:val="FF0000"/>
          <w:highlight w:val="yellow"/>
        </w:rPr>
        <w:t xml:space="preserve"> explicites</w:t>
      </w:r>
      <w:r w:rsidRPr="00B969C9">
        <w:rPr>
          <w:rFonts w:ascii="Arial" w:hAnsi="Arial" w:cs="Arial"/>
          <w:color w:val="FF0000"/>
          <w:highlight w:val="yellow"/>
        </w:rPr>
        <w:t>, photos illustratives…</w:t>
      </w:r>
    </w:p>
    <w:p w:rsidR="00FF7BAE" w:rsidRPr="003E2192" w:rsidRDefault="00496B2E" w:rsidP="00FF7BAE">
      <w:pPr>
        <w:pStyle w:val="Listecouleur-Accent1"/>
        <w:ind w:left="1080"/>
        <w:jc w:val="both"/>
        <w:rPr>
          <w:rFonts w:ascii="Arial" w:hAnsi="Arial" w:cs="Arial"/>
          <w:b/>
          <w:caps/>
        </w:rPr>
      </w:pPr>
      <w:r>
        <w:rPr>
          <w:rFonts w:ascii="Arial" w:hAnsi="Arial" w:cs="Arial"/>
          <w:b/>
          <w:noProof/>
        </w:rPr>
        <w:pict>
          <v:roundrect id="_x0000_s1031" style="position:absolute;left:0;text-align:left;margin-left:309.45pt;margin-top:97.4pt;width:150.35pt;height:126.6pt;z-index:251657216;mso-position-horizontal-relative:margin;mso-position-vertical-relative:margin" arcsize="10923f" strokecolor="#f79646" strokeweight="5pt">
            <v:stroke linestyle="thickThin"/>
            <v:shadow color="#868686"/>
            <v:textbox>
              <w:txbxContent>
                <w:p w:rsidR="00FF7BAE" w:rsidRDefault="00FF7BAE" w:rsidP="00FF7BAE">
                  <w:pPr>
                    <w:spacing w:before="0" w:after="0"/>
                    <w:rPr>
                      <w:rFonts w:ascii="Tahoma" w:hAnsi="Tahoma" w:cs="Tahoma"/>
                      <w:sz w:val="20"/>
                      <w:szCs w:val="18"/>
                    </w:rPr>
                  </w:pPr>
                  <w:r w:rsidRPr="00EA177E">
                    <w:rPr>
                      <w:rFonts w:ascii="Tahoma" w:hAnsi="Tahoma" w:cs="Tahoma"/>
                      <w:sz w:val="20"/>
                      <w:szCs w:val="18"/>
                    </w:rPr>
                    <w:t>24 % des femmes et 36 % des hommes</w:t>
                  </w:r>
                  <w:r w:rsidRPr="00EA177E">
                    <w:rPr>
                      <w:i/>
                      <w:sz w:val="20"/>
                      <w:szCs w:val="20"/>
                    </w:rPr>
                    <w:t xml:space="preserve"> </w:t>
                  </w:r>
                  <w:r w:rsidRPr="00EA177E">
                    <w:rPr>
                      <w:rFonts w:ascii="Tahoma" w:hAnsi="Tahoma" w:cs="Tahoma"/>
                      <w:sz w:val="20"/>
                      <w:szCs w:val="18"/>
                    </w:rPr>
                    <w:t xml:space="preserve">en situation de précarité </w:t>
                  </w:r>
                  <w:r>
                    <w:rPr>
                      <w:rFonts w:ascii="Tahoma" w:hAnsi="Tahoma" w:cs="Tahoma"/>
                      <w:sz w:val="20"/>
                      <w:szCs w:val="18"/>
                    </w:rPr>
                    <w:t>possèdent le</w:t>
                  </w:r>
                  <w:r w:rsidRPr="00EA177E">
                    <w:rPr>
                      <w:rFonts w:ascii="Tahoma" w:hAnsi="Tahoma" w:cs="Tahoma"/>
                      <w:sz w:val="20"/>
                      <w:szCs w:val="18"/>
                    </w:rPr>
                    <w:t xml:space="preserve"> permis de conduire</w:t>
                  </w:r>
                  <w:r>
                    <w:rPr>
                      <w:rFonts w:ascii="Tahoma" w:hAnsi="Tahoma" w:cs="Tahoma"/>
                      <w:sz w:val="20"/>
                      <w:szCs w:val="18"/>
                    </w:rPr>
                    <w:t>.</w:t>
                  </w:r>
                </w:p>
                <w:p w:rsidR="00FF7BAE" w:rsidRPr="00EA177E" w:rsidRDefault="00FF7BAE" w:rsidP="00FF7BAE">
                  <w:pPr>
                    <w:spacing w:before="0" w:after="0"/>
                    <w:rPr>
                      <w:i/>
                      <w:sz w:val="20"/>
                      <w:szCs w:val="20"/>
                    </w:rPr>
                  </w:pPr>
                </w:p>
                <w:p w:rsidR="00FF7BAE" w:rsidRPr="00367421" w:rsidRDefault="00FF7BAE" w:rsidP="00FF7BAE">
                  <w:pPr>
                    <w:spacing w:before="0" w:after="0"/>
                    <w:rPr>
                      <w:i/>
                      <w:sz w:val="18"/>
                      <w:szCs w:val="20"/>
                    </w:rPr>
                  </w:pPr>
                  <w:r w:rsidRPr="00367421">
                    <w:rPr>
                      <w:i/>
                      <w:sz w:val="18"/>
                      <w:szCs w:val="20"/>
                    </w:rPr>
                    <w:t xml:space="preserve">Source : </w:t>
                  </w:r>
                  <w:r>
                    <w:rPr>
                      <w:i/>
                      <w:sz w:val="18"/>
                      <w:szCs w:val="20"/>
                    </w:rPr>
                    <w:t>Enquête menée par Eric Le Breton pour IVM</w:t>
                  </w:r>
                  <w:r w:rsidRPr="00367421">
                    <w:rPr>
                      <w:i/>
                      <w:sz w:val="18"/>
                      <w:szCs w:val="20"/>
                    </w:rPr>
                    <w:t xml:space="preserve"> – </w:t>
                  </w:r>
                  <w:r>
                    <w:rPr>
                      <w:i/>
                      <w:sz w:val="18"/>
                      <w:szCs w:val="20"/>
                    </w:rPr>
                    <w:t>2004</w:t>
                  </w:r>
                  <w:r w:rsidRPr="00367421">
                    <w:rPr>
                      <w:i/>
                      <w:sz w:val="18"/>
                      <w:szCs w:val="20"/>
                    </w:rPr>
                    <w:t>.</w:t>
                  </w:r>
                </w:p>
              </w:txbxContent>
            </v:textbox>
            <w10:wrap type="square" anchorx="margin" anchory="margin"/>
          </v:roundrect>
        </w:pict>
      </w:r>
      <w:r w:rsidR="00FF7BAE" w:rsidRPr="003E2192">
        <w:rPr>
          <w:rFonts w:ascii="Arial" w:hAnsi="Arial" w:cs="Arial"/>
          <w:b/>
          <w:caps/>
        </w:rPr>
        <w:t>De la nécessité de mieux identifier l’ensemble des freins à la mobilité…</w:t>
      </w:r>
    </w:p>
    <w:p w:rsidR="009404FC" w:rsidRDefault="009404FC" w:rsidP="009404FC">
      <w:pPr>
        <w:pStyle w:val="Pucetableau"/>
        <w:numPr>
          <w:ilvl w:val="0"/>
          <w:numId w:val="0"/>
        </w:numPr>
        <w:rPr>
          <w:rFonts w:ascii="Arial" w:hAnsi="Arial" w:cs="Arial"/>
        </w:rPr>
      </w:pPr>
      <w:r w:rsidRPr="001B71E9">
        <w:rPr>
          <w:rFonts w:ascii="Arial" w:hAnsi="Arial" w:cs="Arial"/>
          <w:b/>
        </w:rPr>
        <w:t>Il est désormais admis que la mobilité est le quatrième pilier de l’exclusion, après le logement, la formation et la santé</w:t>
      </w:r>
      <w:r w:rsidRPr="001B71E9">
        <w:rPr>
          <w:rFonts w:ascii="Arial" w:hAnsi="Arial" w:cs="Arial"/>
        </w:rPr>
        <w:t xml:space="preserve"> </w:t>
      </w:r>
      <w:r w:rsidRPr="001B71E9">
        <w:rPr>
          <w:rFonts w:ascii="Arial" w:hAnsi="Arial" w:cs="Arial"/>
        </w:rPr>
        <w:br/>
        <w:t xml:space="preserve">(Cf. Eric Le Breton, </w:t>
      </w:r>
      <w:r w:rsidRPr="001B71E9">
        <w:rPr>
          <w:rFonts w:ascii="Arial" w:hAnsi="Arial" w:cs="Arial"/>
          <w:i/>
        </w:rPr>
        <w:t>Bouger pour s’en sortir - Mobilité quotidienne et intégration sociale</w:t>
      </w:r>
      <w:r w:rsidRPr="001B71E9">
        <w:rPr>
          <w:rFonts w:ascii="Arial" w:hAnsi="Arial" w:cs="Arial"/>
        </w:rPr>
        <w:t> ; 2005, p16.).</w:t>
      </w:r>
      <w:r>
        <w:rPr>
          <w:rFonts w:ascii="Arial" w:hAnsi="Arial" w:cs="Arial"/>
        </w:rPr>
        <w:t xml:space="preserve"> </w:t>
      </w:r>
    </w:p>
    <w:p w:rsidR="00FF7BAE" w:rsidRPr="00236B02" w:rsidRDefault="00FF7BAE" w:rsidP="00FF7BAE">
      <w:pPr>
        <w:pStyle w:val="Pucetableau"/>
        <w:numPr>
          <w:ilvl w:val="0"/>
          <w:numId w:val="0"/>
        </w:numPr>
        <w:rPr>
          <w:rFonts w:ascii="Arial" w:hAnsi="Arial" w:cs="Arial"/>
        </w:rPr>
      </w:pPr>
      <w:r w:rsidRPr="00236B02">
        <w:rPr>
          <w:rFonts w:ascii="Arial" w:hAnsi="Arial" w:cs="Arial"/>
        </w:rPr>
        <w:t>Difficultés à s’orienter ou à lire un plan, à comprendre/parler le français, à prendre les transports collectifs (crainte, phobie, etc</w:t>
      </w:r>
      <w:r w:rsidR="00236B02">
        <w:rPr>
          <w:rFonts w:ascii="Arial" w:hAnsi="Arial" w:cs="Arial"/>
        </w:rPr>
        <w:t>.</w:t>
      </w:r>
      <w:r w:rsidRPr="00236B02">
        <w:rPr>
          <w:rFonts w:ascii="Arial" w:hAnsi="Arial" w:cs="Arial"/>
        </w:rPr>
        <w:t>), à accéder à l’information ou à un moyen de transport (coût)…Autant de freins personnels qui viennent s’ajouter aux limites de la desserte en transport en commun (milieu urbain ou rural peu dense, horaires décalés, etc</w:t>
      </w:r>
      <w:r w:rsidR="00236B02">
        <w:rPr>
          <w:rFonts w:ascii="Arial" w:hAnsi="Arial" w:cs="Arial"/>
        </w:rPr>
        <w:t>.</w:t>
      </w:r>
      <w:r w:rsidRPr="00236B02">
        <w:rPr>
          <w:rFonts w:ascii="Arial" w:hAnsi="Arial" w:cs="Arial"/>
        </w:rPr>
        <w:t xml:space="preserve">) et à l’allongement des distances entre les lieux de vie et de travail. </w:t>
      </w:r>
    </w:p>
    <w:p w:rsidR="00FF7BAE" w:rsidRPr="00236B02" w:rsidRDefault="00FF7BAE" w:rsidP="00FF7BAE">
      <w:pPr>
        <w:pStyle w:val="Pucetableau"/>
        <w:numPr>
          <w:ilvl w:val="0"/>
          <w:numId w:val="0"/>
        </w:numPr>
        <w:rPr>
          <w:rFonts w:ascii="Arial" w:hAnsi="Arial" w:cs="Arial"/>
        </w:rPr>
      </w:pPr>
      <w:r w:rsidRPr="00236B02">
        <w:rPr>
          <w:rFonts w:ascii="Arial" w:hAnsi="Arial" w:cs="Arial"/>
        </w:rPr>
        <w:t xml:space="preserve">Ces obstacles limitent les possibilités de se déplacer librement, et par conséquent d’accéder à un emploi et plus largement à une vie sociale épanouissante. </w:t>
      </w:r>
    </w:p>
    <w:p w:rsidR="00FF7BAE" w:rsidRPr="00236B02" w:rsidRDefault="00FF7BAE" w:rsidP="00FF7BAE">
      <w:pPr>
        <w:pStyle w:val="Pucetableau"/>
        <w:numPr>
          <w:ilvl w:val="0"/>
          <w:numId w:val="0"/>
        </w:numPr>
        <w:rPr>
          <w:rFonts w:ascii="Arial" w:hAnsi="Arial" w:cs="Arial"/>
        </w:rPr>
      </w:pPr>
      <w:r w:rsidRPr="00236B02">
        <w:rPr>
          <w:rFonts w:ascii="Arial" w:hAnsi="Arial" w:cs="Arial"/>
        </w:rPr>
        <w:t xml:space="preserve">Se déplacer en voiture a longtemps été </w:t>
      </w:r>
      <w:r w:rsidR="00236B02" w:rsidRPr="00236B02">
        <w:rPr>
          <w:rFonts w:ascii="Arial" w:hAnsi="Arial" w:cs="Arial"/>
        </w:rPr>
        <w:t>considéré</w:t>
      </w:r>
      <w:r w:rsidRPr="00236B02">
        <w:rPr>
          <w:rFonts w:ascii="Arial" w:hAnsi="Arial" w:cs="Arial"/>
        </w:rPr>
        <w:t xml:space="preserve"> comme une norme sociale à atteindre, dont les plus fragilisés sont exclus. Aujourd’hui, force est de constater que la voiture seule ne peut répondre aux enjeux de développement durable posés par la mobilité : augmentation du coût de l’énergie, pollution de l’air, changements climatiques, qualité de vie, consommation d’espace …La liste des enjeux est longue et variée.</w:t>
      </w:r>
    </w:p>
    <w:p w:rsidR="00FF7BAE" w:rsidRDefault="0045715E" w:rsidP="00496B2E">
      <w:pPr>
        <w:pStyle w:val="Listecouleur-Accent1"/>
        <w:ind w:left="0"/>
        <w:jc w:val="both"/>
        <w:rPr>
          <w:rFonts w:ascii="Arial" w:hAnsi="Arial" w:cs="Arial"/>
        </w:rPr>
      </w:pPr>
      <w:r>
        <w:rPr>
          <w:noProof/>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60325</wp:posOffset>
            </wp:positionV>
            <wp:extent cx="2934970" cy="1990725"/>
            <wp:effectExtent l="19050" t="0" r="0" b="0"/>
            <wp:wrapSquare wrapText="bothSides"/>
            <wp:docPr id="10" name="Image 2" descr="ALM_Nanterre_U_01 - copi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ALM_Nanterre_U_01 - copie.JPG"/>
                    <pic:cNvPicPr>
                      <a:picLocks noChangeArrowheads="1"/>
                    </pic:cNvPicPr>
                  </pic:nvPicPr>
                  <pic:blipFill>
                    <a:blip r:embed="rId7" cstate="print"/>
                    <a:srcRect/>
                    <a:stretch>
                      <a:fillRect/>
                    </a:stretch>
                  </pic:blipFill>
                  <pic:spPr bwMode="auto">
                    <a:xfrm>
                      <a:off x="0" y="0"/>
                      <a:ext cx="2934970" cy="1990725"/>
                    </a:xfrm>
                    <a:prstGeom prst="rect">
                      <a:avLst/>
                    </a:prstGeom>
                    <a:noFill/>
                    <a:ln w="9525">
                      <a:noFill/>
                      <a:miter lim="800000"/>
                      <a:headEnd/>
                      <a:tailEnd/>
                    </a:ln>
                  </pic:spPr>
                </pic:pic>
              </a:graphicData>
            </a:graphic>
          </wp:anchor>
        </w:drawing>
      </w:r>
      <w:r w:rsidR="00FF7BAE" w:rsidRPr="00236B02">
        <w:rPr>
          <w:rFonts w:ascii="Arial" w:hAnsi="Arial" w:cs="Arial"/>
        </w:rPr>
        <w:t>L’accès au permis de conduire ne peut constituer la seule réponse compte tenu de la complexité et de la diversité des freins à la mobilité. D’autres solutions sont aujourd’hui envisageables</w:t>
      </w:r>
      <w:r w:rsidR="00FF7BAE">
        <w:rPr>
          <w:rFonts w:ascii="Arial" w:hAnsi="Arial" w:cs="Arial"/>
        </w:rPr>
        <w:t xml:space="preserve"> pour répondre aux besoins de déplacements des publics en insertion.</w:t>
      </w:r>
    </w:p>
    <w:p w:rsidR="00FF7BAE" w:rsidRDefault="00FF7BAE" w:rsidP="00FF7BAE">
      <w:pPr>
        <w:pStyle w:val="Pucetableau"/>
        <w:numPr>
          <w:ilvl w:val="0"/>
          <w:numId w:val="0"/>
        </w:numPr>
        <w:rPr>
          <w:rFonts w:ascii="Arial" w:hAnsi="Arial" w:cs="Arial"/>
        </w:rPr>
      </w:pPr>
      <w:r>
        <w:rPr>
          <w:rFonts w:ascii="Arial" w:hAnsi="Arial" w:cs="Arial"/>
        </w:rPr>
        <w:t>Ces solutions, efficaces, accessibles à tous, plus sûres et plus saines pour l’environnement, sont aussi moins coûteuses pour les pouvoirs publics. L’important est aussi  de pouvoir redonner confiance et de ne pas stigmatiser ces publics par leurs difficultés à se déplacer.</w:t>
      </w:r>
    </w:p>
    <w:p w:rsidR="00FF7BAE" w:rsidRDefault="003F52CB" w:rsidP="00FF7BAE">
      <w:pPr>
        <w:pStyle w:val="Pucetableau"/>
        <w:numPr>
          <w:ilvl w:val="0"/>
          <w:numId w:val="0"/>
        </w:numPr>
        <w:rPr>
          <w:rFonts w:ascii="Arial" w:hAnsi="Arial" w:cs="Arial"/>
        </w:rPr>
      </w:pPr>
      <w:r>
        <w:rPr>
          <w:rFonts w:ascii="Arial" w:hAnsi="Arial" w:cs="Arial"/>
          <w:b/>
          <w:cap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2" type="#_x0000_t67" style="position:absolute;left:0;text-align:left;margin-left:204.3pt;margin-top:9.95pt;width:45pt;height:27pt;z-index:251658240;mso-wrap-edited:f" wrapcoords="4320 -600 3960 1200 3600 9000 -1440 13800 -3240 16200 -3240 20400 5400 25800 7920 25800 14400 25800 15840 25800 25560 19800 25560 17400 18720 9000 18720 4200 18000 0 16920 -600 4320 -600" fillcolor="#3f80cd" strokecolor="#4a7ebb" strokeweight="1.5pt">
            <v:fill color2="#9bc1ff" o:detectmouseclick="t" focusposition="" focussize=",90" type="gradient">
              <o:fill v:ext="view" type="gradientUnscaled"/>
            </v:fill>
            <v:shadow on="t" opacity="22938f" offset="0"/>
            <v:textbox inset=",7.2pt,,7.2pt"/>
            <w10:wrap type="tight"/>
          </v:shape>
        </w:pict>
      </w:r>
      <w:r w:rsidR="00496B2E">
        <w:rPr>
          <w:rFonts w:ascii="Arial" w:hAnsi="Arial" w:cs="Arial"/>
        </w:rPr>
        <w:pict>
          <v:roundrect id="_x0000_s1026" style="position:absolute;left:0;text-align:left;margin-left:0;margin-top:60.2pt;width:448.5pt;height:144.15pt;z-index:251656192;mso-position-horizontal:center;mso-position-horizontal-relative:margin;mso-position-vertical-relative:line" arcsize="10923f" fillcolor="#92cddc" strokecolor="#92cddc" strokeweight="1pt">
            <v:fill color2="#daeef3" angle="-45" focusposition="1" focussize="" focus="-50%" type="gradient"/>
            <v:shadow on="t" type="perspective" color="#205867" opacity=".5" offset="1pt" offset2="-3pt"/>
            <v:textbox style="mso-next-textbox:#_x0000_s1026">
              <w:txbxContent>
                <w:p w:rsidR="00FF7BAE" w:rsidRPr="00496B2E" w:rsidRDefault="00FF7BAE" w:rsidP="00FF7BAE">
                  <w:pPr>
                    <w:pStyle w:val="Pucetableau"/>
                    <w:numPr>
                      <w:ilvl w:val="0"/>
                      <w:numId w:val="0"/>
                    </w:numPr>
                    <w:jc w:val="center"/>
                    <w:rPr>
                      <w:rFonts w:ascii="Arial" w:hAnsi="Arial" w:cs="Arial"/>
                    </w:rPr>
                  </w:pPr>
                  <w:r w:rsidRPr="00496B2E">
                    <w:rPr>
                      <w:rFonts w:ascii="Arial" w:hAnsi="Arial" w:cs="Arial"/>
                      <w:b/>
                      <w:u w:val="single"/>
                    </w:rPr>
                    <w:t>MOBILITÉ et PARCOURS D’INSERTION : QUELS ENJEUX </w:t>
                  </w:r>
                  <w:r w:rsidRPr="00496B2E">
                    <w:rPr>
                      <w:rFonts w:ascii="Arial" w:hAnsi="Arial" w:cs="Arial"/>
                    </w:rPr>
                    <w:t>?</w:t>
                  </w:r>
                </w:p>
                <w:p w:rsidR="00FF7BAE" w:rsidRPr="00496B2E" w:rsidRDefault="00FF7BAE" w:rsidP="00FF7BAE">
                  <w:pPr>
                    <w:pStyle w:val="Pucetableau"/>
                    <w:numPr>
                      <w:ilvl w:val="0"/>
                      <w:numId w:val="0"/>
                    </w:numPr>
                    <w:jc w:val="left"/>
                    <w:rPr>
                      <w:rFonts w:ascii="Arial" w:hAnsi="Arial" w:cs="Arial"/>
                      <w:b/>
                    </w:rPr>
                  </w:pPr>
                  <w:r w:rsidRPr="00496B2E">
                    <w:rPr>
                      <w:rFonts w:ascii="Arial" w:hAnsi="Arial" w:cs="Arial"/>
                      <w:b/>
                    </w:rPr>
                    <w:t>Faciliter le repérage des difficultés en amont du parcours d’insertion, pour mieux orienter chaque personne vers des solutions adaptées en mobilisant les acteurs pertinents</w:t>
                  </w:r>
                </w:p>
                <w:p w:rsidR="00FF7BAE" w:rsidRPr="00496B2E" w:rsidRDefault="00FF7BAE" w:rsidP="00FF7BAE">
                  <w:pPr>
                    <w:pStyle w:val="Pucetableau"/>
                    <w:numPr>
                      <w:ilvl w:val="0"/>
                      <w:numId w:val="0"/>
                    </w:numPr>
                    <w:jc w:val="left"/>
                    <w:rPr>
                      <w:rFonts w:ascii="Arial" w:hAnsi="Arial" w:cs="Arial"/>
                      <w:b/>
                    </w:rPr>
                  </w:pPr>
                  <w:r w:rsidRPr="00496B2E">
                    <w:rPr>
                      <w:rFonts w:ascii="Arial" w:hAnsi="Arial" w:cs="Arial"/>
                      <w:b/>
                    </w:rPr>
                    <w:t>Se donner les moyens d’identifier les freins à la mobilité, dans toute leur diversité, en lien avec le vécu de chaque personne.</w:t>
                  </w:r>
                </w:p>
                <w:p w:rsidR="00FF7BAE" w:rsidRPr="00496B2E" w:rsidRDefault="00FF7BAE" w:rsidP="00FF7BAE">
                  <w:pPr>
                    <w:pStyle w:val="Pucetableau"/>
                    <w:numPr>
                      <w:ilvl w:val="0"/>
                      <w:numId w:val="0"/>
                    </w:numPr>
                    <w:jc w:val="left"/>
                    <w:rPr>
                      <w:rFonts w:ascii="Arial" w:hAnsi="Arial" w:cs="Arial"/>
                      <w:b/>
                    </w:rPr>
                  </w:pPr>
                  <w:r w:rsidRPr="00496B2E">
                    <w:rPr>
                      <w:rFonts w:ascii="Arial" w:hAnsi="Arial" w:cs="Arial"/>
                      <w:b/>
                    </w:rPr>
                    <w:t xml:space="preserve">Proposer un accompagnement social plus efficace, qui intègre la réalité des freins rencontrés par les publics, dont la mobilité fait partie. </w:t>
                  </w:r>
                </w:p>
              </w:txbxContent>
            </v:textbox>
            <w10:wrap anchorx="margin"/>
          </v:roundrect>
        </w:pict>
      </w:r>
    </w:p>
    <w:p w:rsidR="00FF7BAE" w:rsidRPr="000C1714" w:rsidRDefault="00FF7BAE" w:rsidP="00FF7BAE">
      <w:pPr>
        <w:pStyle w:val="Pucetableau"/>
        <w:numPr>
          <w:ilvl w:val="0"/>
          <w:numId w:val="0"/>
        </w:numPr>
        <w:jc w:val="center"/>
        <w:rPr>
          <w:rFonts w:ascii="Arial" w:hAnsi="Arial" w:cs="Arial"/>
        </w:rPr>
      </w:pPr>
      <w:fldSimple w:instr=" USERPROPERTY  \* MERGEFORMAT " w:fldLock="1"/>
    </w:p>
    <w:p w:rsidR="00FF7BAE" w:rsidRPr="000C1714" w:rsidRDefault="00FF7BAE" w:rsidP="00FF7BAE">
      <w:pPr>
        <w:pStyle w:val="Pucetableau"/>
        <w:numPr>
          <w:ilvl w:val="0"/>
          <w:numId w:val="0"/>
        </w:numPr>
        <w:rPr>
          <w:rFonts w:ascii="Arial" w:hAnsi="Arial" w:cs="Arial"/>
        </w:rPr>
      </w:pPr>
    </w:p>
    <w:p w:rsidR="00FF7BAE" w:rsidRPr="003E2192" w:rsidRDefault="00FF7BAE" w:rsidP="00FF7BAE">
      <w:pPr>
        <w:pStyle w:val="Listecouleur-Accent1"/>
        <w:jc w:val="both"/>
        <w:rPr>
          <w:rFonts w:ascii="Arial" w:hAnsi="Arial" w:cs="Arial"/>
          <w:b/>
          <w:caps/>
        </w:rPr>
      </w:pPr>
      <w:r>
        <w:rPr>
          <w:rFonts w:ascii="Arial" w:hAnsi="Arial" w:cs="Arial"/>
          <w:b/>
          <w:caps/>
        </w:rPr>
        <w:br w:type="page"/>
      </w:r>
      <w:r>
        <w:rPr>
          <w:rFonts w:ascii="Arial" w:hAnsi="Arial" w:cs="Arial"/>
          <w:b/>
          <w:caps/>
        </w:rPr>
        <w:lastRenderedPageBreak/>
        <w:t>…</w:t>
      </w:r>
      <w:r w:rsidRPr="003E2192">
        <w:rPr>
          <w:rFonts w:ascii="Arial" w:hAnsi="Arial" w:cs="Arial"/>
          <w:b/>
          <w:caps/>
        </w:rPr>
        <w:t>A la possibilité de proposer d’autres solutions que l’accès au permis de conduire</w:t>
      </w:r>
      <w:r>
        <w:rPr>
          <w:rFonts w:ascii="Arial" w:hAnsi="Arial" w:cs="Arial"/>
          <w:b/>
          <w:caps/>
        </w:rPr>
        <w:t>.</w:t>
      </w:r>
    </w:p>
    <w:p w:rsidR="00FF7BAE" w:rsidRPr="00392433" w:rsidRDefault="00FF7BAE" w:rsidP="00FF7BAE">
      <w:pPr>
        <w:pStyle w:val="Pucetableau"/>
        <w:numPr>
          <w:ilvl w:val="0"/>
          <w:numId w:val="0"/>
        </w:numPr>
        <w:rPr>
          <w:rFonts w:ascii="Arial" w:hAnsi="Arial" w:cs="Arial"/>
          <w:b/>
          <w:i/>
          <w:color w:val="E36C0A"/>
        </w:rPr>
      </w:pPr>
      <w:r w:rsidRPr="00392433">
        <w:rPr>
          <w:rFonts w:ascii="Arial" w:hAnsi="Arial" w:cs="Arial"/>
          <w:b/>
          <w:i/>
          <w:color w:val="E36C0A"/>
        </w:rPr>
        <w:t>Les acteurs de l’insertion sont en capacité de proposer un accompagnement à la m</w:t>
      </w:r>
      <w:r>
        <w:rPr>
          <w:rFonts w:ascii="Arial" w:hAnsi="Arial" w:cs="Arial"/>
          <w:b/>
          <w:i/>
          <w:color w:val="E36C0A"/>
        </w:rPr>
        <w:t>obilité parfaitement intégré à leur mission d</w:t>
      </w:r>
      <w:r w:rsidRPr="00392433">
        <w:rPr>
          <w:rFonts w:ascii="Arial" w:hAnsi="Arial" w:cs="Arial"/>
          <w:b/>
          <w:i/>
          <w:color w:val="E36C0A"/>
        </w:rPr>
        <w:t xml:space="preserve">’accompagnement social. </w:t>
      </w:r>
    </w:p>
    <w:p w:rsidR="00FF7BAE" w:rsidRPr="00236B02" w:rsidRDefault="00FF7BAE" w:rsidP="00FF7BAE">
      <w:pPr>
        <w:pStyle w:val="Pucetableau"/>
        <w:numPr>
          <w:ilvl w:val="0"/>
          <w:numId w:val="0"/>
        </w:numPr>
        <w:rPr>
          <w:rFonts w:ascii="Arial" w:hAnsi="Arial" w:cs="Arial"/>
        </w:rPr>
      </w:pPr>
      <w:r w:rsidRPr="00236B02">
        <w:rPr>
          <w:rFonts w:ascii="Arial" w:hAnsi="Arial" w:cs="Arial"/>
        </w:rPr>
        <w:t xml:space="preserve">Cet accompagnement adapté aux publics peut passer par un diagnostic de mobilité individuel, du conseil en mobilité ou encore des services de mobilité. </w:t>
      </w:r>
    </w:p>
    <w:p w:rsidR="00236B02" w:rsidRPr="00DF69C1" w:rsidRDefault="00236B02" w:rsidP="00236B02">
      <w:pPr>
        <w:pStyle w:val="Pucetableau"/>
        <w:numPr>
          <w:ilvl w:val="0"/>
          <w:numId w:val="0"/>
        </w:numPr>
        <w:rPr>
          <w:rFonts w:ascii="Arial" w:hAnsi="Arial" w:cs="Arial"/>
        </w:rPr>
      </w:pPr>
      <w:r w:rsidRPr="00DF69C1">
        <w:rPr>
          <w:rFonts w:ascii="Arial" w:hAnsi="Arial" w:cs="Arial"/>
        </w:rPr>
        <w:t xml:space="preserve">Les retours d’expérience mettent en évidence que les structures d’insertion portent des actions très diverses : ateliers de formation à l’usage des transports collectifs (ex : </w:t>
      </w:r>
      <w:r w:rsidRPr="00DF69C1">
        <w:rPr>
          <w:rFonts w:ascii="Arial" w:hAnsi="Arial" w:cs="Arial"/>
          <w:color w:val="FF0000"/>
          <w:highlight w:val="yellow"/>
        </w:rPr>
        <w:t>STRUCTURE LOCALE</w:t>
      </w:r>
      <w:r w:rsidRPr="00DF69C1">
        <w:rPr>
          <w:rFonts w:ascii="Arial" w:hAnsi="Arial" w:cs="Arial"/>
        </w:rPr>
        <w:t xml:space="preserve">), location de deux-roues motorisés (ex : </w:t>
      </w:r>
      <w:r w:rsidRPr="00DF69C1">
        <w:rPr>
          <w:rFonts w:ascii="Arial" w:hAnsi="Arial" w:cs="Arial"/>
          <w:color w:val="FF0000"/>
          <w:highlight w:val="yellow"/>
        </w:rPr>
        <w:t>STRUCTURE LOCALE</w:t>
      </w:r>
      <w:r w:rsidRPr="00DF69C1">
        <w:rPr>
          <w:rFonts w:ascii="Arial" w:hAnsi="Arial" w:cs="Arial"/>
        </w:rPr>
        <w:t xml:space="preserve">), service de transport dédié aux publics en insertion (ex : </w:t>
      </w:r>
      <w:r w:rsidRPr="00DF69C1">
        <w:rPr>
          <w:rFonts w:ascii="Arial" w:hAnsi="Arial" w:cs="Arial"/>
          <w:color w:val="FF0000"/>
          <w:highlight w:val="yellow"/>
        </w:rPr>
        <w:t>STRUCTURE LOCALE</w:t>
      </w:r>
      <w:r w:rsidRPr="00DF69C1">
        <w:rPr>
          <w:rFonts w:ascii="Arial" w:hAnsi="Arial" w:cs="Arial"/>
        </w:rPr>
        <w:t xml:space="preserve">) ou pôle de services mobilité (ex : </w:t>
      </w:r>
      <w:r w:rsidRPr="00DF69C1">
        <w:rPr>
          <w:rFonts w:ascii="Arial" w:hAnsi="Arial" w:cs="Arial"/>
          <w:color w:val="FF0000"/>
          <w:highlight w:val="yellow"/>
        </w:rPr>
        <w:t>STRUCTURE LOCALE</w:t>
      </w:r>
      <w:r w:rsidRPr="00DF69C1">
        <w:rPr>
          <w:rFonts w:ascii="Arial" w:hAnsi="Arial" w:cs="Arial"/>
        </w:rPr>
        <w:t xml:space="preserve">)… La palette des services envisageables et des innovations possibles est très vaste. </w:t>
      </w:r>
    </w:p>
    <w:p w:rsidR="00FF7BAE" w:rsidRDefault="00FF7BAE" w:rsidP="00FF7BAE">
      <w:pPr>
        <w:pStyle w:val="Pucetableau"/>
        <w:numPr>
          <w:ilvl w:val="0"/>
          <w:numId w:val="0"/>
        </w:numPr>
        <w:rPr>
          <w:rFonts w:ascii="Arial" w:hAnsi="Arial" w:cs="Arial"/>
        </w:rPr>
      </w:pPr>
      <w:r>
        <w:rPr>
          <w:rFonts w:ascii="Arial" w:hAnsi="Arial" w:cs="Arial"/>
        </w:rPr>
        <w:t>Mais au-delà des services qui peuvent être mis en place par ces structures, c’est l’identification des freins à la mobilité en amont et l’accompagnement des publics vers une mobilité autonome qui sont la base de la démarche. Cet accompagnement à la mobilité s’intègre parfaitement dans les missions des acteurs de l’insertion et contribue à une prise en charge globale des publics.</w:t>
      </w:r>
    </w:p>
    <w:p w:rsidR="00FF7BAE" w:rsidRDefault="00FF7BAE" w:rsidP="00FF7BAE">
      <w:pPr>
        <w:pStyle w:val="Pucetableau"/>
        <w:numPr>
          <w:ilvl w:val="0"/>
          <w:numId w:val="0"/>
        </w:numPr>
        <w:rPr>
          <w:rFonts w:ascii="Arial" w:hAnsi="Arial" w:cs="Arial"/>
        </w:rPr>
      </w:pPr>
      <w:r>
        <w:rPr>
          <w:rFonts w:ascii="Arial" w:hAnsi="Arial" w:cs="Arial"/>
        </w:rPr>
        <w:t>Il est donc essentiel de pouvoir s’appuyer sur les structures d’insertion :</w:t>
      </w:r>
    </w:p>
    <w:p w:rsidR="00FF7BAE" w:rsidRPr="00236B02" w:rsidRDefault="00FF7BAE" w:rsidP="00FF7BAE">
      <w:pPr>
        <w:pStyle w:val="Pucetableau"/>
        <w:numPr>
          <w:ilvl w:val="0"/>
          <w:numId w:val="24"/>
        </w:numPr>
        <w:rPr>
          <w:rFonts w:ascii="Arial" w:hAnsi="Arial" w:cs="Arial"/>
        </w:rPr>
      </w:pPr>
      <w:r w:rsidRPr="00236B02">
        <w:rPr>
          <w:rFonts w:ascii="Arial" w:hAnsi="Arial" w:cs="Arial"/>
        </w:rPr>
        <w:t>pour leur capacité à repérer et remonter les besoins émergents et les enjeux locaux ;</w:t>
      </w:r>
    </w:p>
    <w:p w:rsidR="00FF7BAE" w:rsidRPr="00236B02" w:rsidRDefault="00FF7BAE" w:rsidP="00FF7BAE">
      <w:pPr>
        <w:pStyle w:val="Pucetableau"/>
        <w:numPr>
          <w:ilvl w:val="0"/>
          <w:numId w:val="24"/>
        </w:numPr>
        <w:rPr>
          <w:rFonts w:ascii="Arial" w:hAnsi="Arial" w:cs="Arial"/>
        </w:rPr>
      </w:pPr>
      <w:r w:rsidRPr="00236B02">
        <w:rPr>
          <w:rFonts w:ascii="Arial" w:hAnsi="Arial" w:cs="Arial"/>
        </w:rPr>
        <w:t>pour adapter et utiliser les outils de l’accompagnement social en prenant en compte les problématiques de mobilité des publics suivis ;</w:t>
      </w:r>
    </w:p>
    <w:p w:rsidR="00FF7BAE" w:rsidRPr="00236B02" w:rsidRDefault="00FF7BAE" w:rsidP="00FF7BAE">
      <w:pPr>
        <w:pStyle w:val="Pucetableau"/>
        <w:numPr>
          <w:ilvl w:val="0"/>
          <w:numId w:val="24"/>
        </w:numPr>
        <w:rPr>
          <w:rFonts w:ascii="Arial" w:hAnsi="Arial" w:cs="Arial"/>
        </w:rPr>
      </w:pPr>
      <w:r w:rsidRPr="00236B02">
        <w:rPr>
          <w:rFonts w:ascii="Arial" w:hAnsi="Arial" w:cs="Arial"/>
        </w:rPr>
        <w:t>pour leur expérience de l’accompagnement à l’autonomie qu’ils pratiquent au quotidien.</w:t>
      </w:r>
    </w:p>
    <w:p w:rsidR="00FF7BAE" w:rsidRPr="008014D0" w:rsidRDefault="00FF7BAE" w:rsidP="00FF7BAE">
      <w:pPr>
        <w:pStyle w:val="Pucetableau"/>
        <w:numPr>
          <w:ilvl w:val="0"/>
          <w:numId w:val="0"/>
        </w:numPr>
        <w:ind w:left="720"/>
        <w:rPr>
          <w:rFonts w:ascii="Arial" w:hAnsi="Arial" w:cs="Arial"/>
        </w:rPr>
      </w:pPr>
    </w:p>
    <w:p w:rsidR="00FF7BAE" w:rsidRDefault="00FF7BAE" w:rsidP="00FF7BAE">
      <w:pPr>
        <w:pStyle w:val="Pucetableau"/>
        <w:numPr>
          <w:ilvl w:val="0"/>
          <w:numId w:val="0"/>
        </w:numPr>
        <w:ind w:left="720"/>
        <w:rPr>
          <w:b/>
        </w:rPr>
      </w:pPr>
      <w:r w:rsidRPr="00EB63B4">
        <w:rPr>
          <w:b/>
        </w:rPr>
        <w:t>A QUEL NIVEAU ET COMMENT INTERVENIR</w:t>
      </w:r>
    </w:p>
    <w:p w:rsidR="00FF7BAE" w:rsidRPr="00A34387" w:rsidRDefault="00FF7BAE" w:rsidP="00FF7BAE">
      <w:pPr>
        <w:pStyle w:val="Pucetableau"/>
        <w:numPr>
          <w:ilvl w:val="0"/>
          <w:numId w:val="0"/>
        </w:numPr>
        <w:rPr>
          <w:rFonts w:ascii="Arial" w:hAnsi="Arial" w:cs="Arial"/>
        </w:rPr>
      </w:pPr>
      <w:r>
        <w:rPr>
          <w:rFonts w:ascii="Arial" w:hAnsi="Arial" w:cs="Arial"/>
        </w:rPr>
        <w:t>En tant que prescripteur de l’emploi, vous pouvez intervenir en :</w:t>
      </w:r>
    </w:p>
    <w:p w:rsidR="00FF7BAE" w:rsidRPr="00236B02" w:rsidRDefault="00FF7BAE" w:rsidP="00FF7BAE">
      <w:pPr>
        <w:pStyle w:val="Pucetableau"/>
        <w:numPr>
          <w:ilvl w:val="0"/>
          <w:numId w:val="28"/>
        </w:numPr>
        <w:rPr>
          <w:rFonts w:ascii="Arial" w:hAnsi="Arial" w:cs="Arial"/>
        </w:rPr>
      </w:pPr>
      <w:r w:rsidRPr="00236B02">
        <w:rPr>
          <w:rFonts w:ascii="Arial" w:hAnsi="Arial" w:cs="Arial"/>
        </w:rPr>
        <w:t>réalisant des pré-diagnostics des freins d’accès à la mobilité des publics demandeurs d'emploi et en situation d'insertion, intégrés à vos entretiens classiques ;</w:t>
      </w:r>
    </w:p>
    <w:p w:rsidR="00FF7BAE" w:rsidRDefault="00FF7BAE" w:rsidP="00FF7BAE">
      <w:pPr>
        <w:pStyle w:val="Pucetableau"/>
        <w:numPr>
          <w:ilvl w:val="0"/>
          <w:numId w:val="28"/>
        </w:numPr>
        <w:rPr>
          <w:rFonts w:ascii="Arial" w:hAnsi="Arial" w:cs="Arial"/>
        </w:rPr>
      </w:pPr>
      <w:r>
        <w:rPr>
          <w:rFonts w:ascii="Arial" w:hAnsi="Arial" w:cs="Arial"/>
        </w:rPr>
        <w:t>v</w:t>
      </w:r>
      <w:r w:rsidRPr="00A34387">
        <w:rPr>
          <w:rFonts w:ascii="Arial" w:hAnsi="Arial" w:cs="Arial"/>
        </w:rPr>
        <w:t>ous</w:t>
      </w:r>
      <w:r>
        <w:rPr>
          <w:rFonts w:ascii="Arial" w:hAnsi="Arial" w:cs="Arial"/>
        </w:rPr>
        <w:t xml:space="preserve"> informant</w:t>
      </w:r>
      <w:r w:rsidRPr="00A34387">
        <w:rPr>
          <w:rFonts w:ascii="Arial" w:hAnsi="Arial" w:cs="Arial"/>
        </w:rPr>
        <w:t xml:space="preserve"> sur les services dis</w:t>
      </w:r>
      <w:r>
        <w:rPr>
          <w:rFonts w:ascii="Arial" w:hAnsi="Arial" w:cs="Arial"/>
        </w:rPr>
        <w:t>ponibles sur votre territoire ;</w:t>
      </w:r>
    </w:p>
    <w:p w:rsidR="00FF7BAE" w:rsidRDefault="00FF7BAE" w:rsidP="00FF7BAE">
      <w:pPr>
        <w:pStyle w:val="Pucetableau"/>
        <w:numPr>
          <w:ilvl w:val="0"/>
          <w:numId w:val="28"/>
        </w:numPr>
        <w:rPr>
          <w:rFonts w:ascii="Arial" w:hAnsi="Arial" w:cs="Arial"/>
        </w:rPr>
      </w:pPr>
      <w:r w:rsidRPr="00236B02">
        <w:rPr>
          <w:rFonts w:ascii="Arial" w:hAnsi="Arial" w:cs="Arial"/>
        </w:rPr>
        <w:t>alimentant l'expertise territoriale nécessaire à la mise en place d’un projet mobilité, grâce à</w:t>
      </w:r>
      <w:r>
        <w:rPr>
          <w:rFonts w:ascii="Arial" w:hAnsi="Arial" w:cs="Arial"/>
        </w:rPr>
        <w:t xml:space="preserve"> votre connaissance du contexte local </w:t>
      </w:r>
      <w:r w:rsidRPr="00A34387">
        <w:rPr>
          <w:rFonts w:ascii="Arial" w:hAnsi="Arial" w:cs="Arial"/>
        </w:rPr>
        <w:t>(ba</w:t>
      </w:r>
      <w:r>
        <w:rPr>
          <w:rFonts w:ascii="Arial" w:hAnsi="Arial" w:cs="Arial"/>
        </w:rPr>
        <w:t>ssin d'emploi et bassin de vie</w:t>
      </w:r>
      <w:r w:rsidRPr="00A34387">
        <w:rPr>
          <w:rFonts w:ascii="Arial" w:hAnsi="Arial" w:cs="Arial"/>
        </w:rPr>
        <w:t>)</w:t>
      </w:r>
      <w:r>
        <w:rPr>
          <w:rFonts w:ascii="Arial" w:hAnsi="Arial" w:cs="Arial"/>
        </w:rPr>
        <w:t>.</w:t>
      </w:r>
    </w:p>
    <w:p w:rsidR="00FF7BAE" w:rsidRPr="00011024" w:rsidRDefault="00FF7BAE" w:rsidP="00FF7BAE">
      <w:pPr>
        <w:pStyle w:val="Pucetableau"/>
        <w:numPr>
          <w:ilvl w:val="0"/>
          <w:numId w:val="0"/>
        </w:numPr>
        <w:rPr>
          <w:rFonts w:ascii="Arial" w:hAnsi="Arial" w:cs="Arial"/>
        </w:rPr>
      </w:pPr>
    </w:p>
    <w:p w:rsidR="00FF7BAE" w:rsidRPr="00A34387" w:rsidRDefault="00FF7BAE" w:rsidP="00FF7BAE">
      <w:pPr>
        <w:pStyle w:val="Listecouleur-Accent1"/>
        <w:numPr>
          <w:ilvl w:val="0"/>
          <w:numId w:val="10"/>
        </w:numPr>
        <w:rPr>
          <w:rFonts w:ascii="Arial" w:hAnsi="Arial" w:cs="Arial"/>
          <w:b/>
        </w:rPr>
      </w:pPr>
      <w:r w:rsidRPr="00EB63B4">
        <w:rPr>
          <w:rFonts w:ascii="Arial" w:hAnsi="Arial" w:cs="Arial"/>
          <w:b/>
        </w:rPr>
        <w:t xml:space="preserve">SERVICES DISPONIBLES SUR LE TERRITOIRE OU PROPOSES PAR LA </w:t>
      </w:r>
      <w:proofErr w:type="gramStart"/>
      <w:r w:rsidRPr="00EB63B4">
        <w:rPr>
          <w:rFonts w:ascii="Arial" w:hAnsi="Arial" w:cs="Arial"/>
          <w:b/>
        </w:rPr>
        <w:t>SIAE</w:t>
      </w:r>
      <w:proofErr w:type="gramEnd"/>
      <w:r>
        <w:rPr>
          <w:rFonts w:ascii="Arial" w:hAnsi="Arial" w:cs="Arial"/>
          <w:b/>
        </w:rPr>
        <w:br/>
      </w:r>
      <w:r w:rsidRPr="00EB63B4">
        <w:rPr>
          <w:rFonts w:ascii="Arial" w:hAnsi="Arial" w:cs="Arial"/>
          <w:b/>
          <w:color w:val="FF0000"/>
        </w:rPr>
        <w:t>(</w:t>
      </w:r>
      <w:r>
        <w:rPr>
          <w:rFonts w:ascii="Arial" w:hAnsi="Arial" w:cs="Arial"/>
          <w:b/>
          <w:color w:val="FF0000"/>
        </w:rPr>
        <w:t xml:space="preserve">à </w:t>
      </w:r>
      <w:r w:rsidRPr="00EB63B4">
        <w:rPr>
          <w:rFonts w:ascii="Arial" w:hAnsi="Arial" w:cs="Arial"/>
          <w:b/>
          <w:color w:val="FF0000"/>
        </w:rPr>
        <w:t>personnaliser selon votre contexte local)</w:t>
      </w:r>
    </w:p>
    <w:p w:rsidR="00FF7BAE" w:rsidRPr="00236B02" w:rsidRDefault="00FF7BAE" w:rsidP="00FF7BAE">
      <w:pPr>
        <w:pStyle w:val="Pucetableau"/>
        <w:numPr>
          <w:ilvl w:val="0"/>
          <w:numId w:val="0"/>
        </w:numPr>
        <w:rPr>
          <w:rFonts w:ascii="Arial" w:hAnsi="Arial" w:cs="Arial"/>
          <w:color w:val="FF0000"/>
          <w:highlight w:val="yellow"/>
        </w:rPr>
      </w:pPr>
      <w:r w:rsidRPr="00236B02">
        <w:rPr>
          <w:rFonts w:ascii="Arial" w:hAnsi="Arial" w:cs="Arial"/>
          <w:color w:val="FF0000"/>
          <w:highlight w:val="yellow"/>
        </w:rPr>
        <w:t>A titre d’information, quelques précisions sur les spécificités de votre territoire.</w:t>
      </w:r>
    </w:p>
    <w:p w:rsidR="00FF7BAE" w:rsidRPr="00236B02" w:rsidRDefault="00FF7BAE" w:rsidP="00FF7BAE">
      <w:pPr>
        <w:pStyle w:val="Pucetableau"/>
        <w:numPr>
          <w:ilvl w:val="0"/>
          <w:numId w:val="27"/>
        </w:numPr>
        <w:rPr>
          <w:rFonts w:ascii="Arial" w:hAnsi="Arial" w:cs="Arial"/>
          <w:color w:val="FF0000"/>
          <w:highlight w:val="yellow"/>
        </w:rPr>
      </w:pPr>
      <w:r w:rsidRPr="00236B02">
        <w:rPr>
          <w:rFonts w:ascii="Arial" w:hAnsi="Arial" w:cs="Arial"/>
          <w:color w:val="FF0000"/>
          <w:highlight w:val="yellow"/>
        </w:rPr>
        <w:t>les services disponibles sur le territoire (à préciser) :</w:t>
      </w:r>
    </w:p>
    <w:p w:rsidR="00FF7BAE" w:rsidRPr="00236B02" w:rsidRDefault="00FF7BAE" w:rsidP="00FF7BAE">
      <w:pPr>
        <w:pStyle w:val="Pucetableau"/>
        <w:numPr>
          <w:ilvl w:val="0"/>
          <w:numId w:val="27"/>
        </w:numPr>
        <w:rPr>
          <w:rFonts w:ascii="Arial" w:hAnsi="Arial" w:cs="Arial"/>
          <w:color w:val="FF0000"/>
          <w:highlight w:val="yellow"/>
        </w:rPr>
      </w:pPr>
      <w:r w:rsidRPr="00236B02">
        <w:rPr>
          <w:rFonts w:ascii="Arial" w:hAnsi="Arial" w:cs="Arial"/>
          <w:color w:val="FF0000"/>
          <w:highlight w:val="yellow"/>
        </w:rPr>
        <w:t>les services proposés par votre SIAE (à préciser) :</w:t>
      </w:r>
    </w:p>
    <w:p w:rsidR="00FF7BAE" w:rsidRPr="00236B02" w:rsidRDefault="00FF7BAE" w:rsidP="00FF7BAE">
      <w:pPr>
        <w:pStyle w:val="Pucetableau"/>
        <w:numPr>
          <w:ilvl w:val="0"/>
          <w:numId w:val="27"/>
        </w:numPr>
        <w:rPr>
          <w:rFonts w:ascii="Arial" w:hAnsi="Arial" w:cs="Arial"/>
          <w:color w:val="FF0000"/>
          <w:highlight w:val="yellow"/>
        </w:rPr>
      </w:pPr>
      <w:r w:rsidRPr="00236B02">
        <w:rPr>
          <w:rFonts w:ascii="Arial" w:hAnsi="Arial" w:cs="Arial"/>
          <w:color w:val="FF0000"/>
          <w:highlight w:val="yellow"/>
        </w:rPr>
        <w:t>les services manquants mais dont le besoin peut être prouvé par des données fiables issues de votre diagnostic (à préciser) :</w:t>
      </w:r>
    </w:p>
    <w:p w:rsidR="00FF7BAE" w:rsidRPr="00DC320B" w:rsidRDefault="00FF7BAE" w:rsidP="00FF7BAE">
      <w:pPr>
        <w:pStyle w:val="Pucetableau"/>
        <w:numPr>
          <w:ilvl w:val="0"/>
          <w:numId w:val="0"/>
        </w:numPr>
        <w:rPr>
          <w:rFonts w:ascii="Arial" w:hAnsi="Arial" w:cs="Arial"/>
        </w:rPr>
      </w:pPr>
    </w:p>
    <w:p w:rsidR="00FF7BAE" w:rsidRPr="00011024" w:rsidRDefault="00FF7BAE" w:rsidP="00FF7BAE">
      <w:pPr>
        <w:pStyle w:val="Pucetableau"/>
        <w:numPr>
          <w:ilvl w:val="0"/>
          <w:numId w:val="0"/>
        </w:numPr>
        <w:rPr>
          <w:rFonts w:ascii="Arial" w:hAnsi="Arial" w:cs="Arial"/>
        </w:rPr>
      </w:pPr>
    </w:p>
    <w:sectPr w:rsidR="00FF7BAE" w:rsidRPr="00011024" w:rsidSect="00FF7BA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AB7" w:rsidRDefault="00214AB7" w:rsidP="00FF7BAE">
      <w:pPr>
        <w:spacing w:before="0" w:after="0" w:line="240" w:lineRule="auto"/>
      </w:pPr>
      <w:r>
        <w:separator/>
      </w:r>
    </w:p>
  </w:endnote>
  <w:endnote w:type="continuationSeparator" w:id="0">
    <w:p w:rsidR="00214AB7" w:rsidRDefault="00214AB7" w:rsidP="00FF7BA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E" w:rsidRDefault="0081638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E" w:rsidRDefault="0081638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E" w:rsidRDefault="0081638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AB7" w:rsidRDefault="00214AB7" w:rsidP="00FF7BAE">
      <w:pPr>
        <w:spacing w:before="0" w:after="0" w:line="240" w:lineRule="auto"/>
      </w:pPr>
      <w:r>
        <w:separator/>
      </w:r>
    </w:p>
  </w:footnote>
  <w:footnote w:type="continuationSeparator" w:id="0">
    <w:p w:rsidR="00214AB7" w:rsidRDefault="00214AB7" w:rsidP="00FF7BA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E" w:rsidRDefault="0081638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BAE" w:rsidRDefault="0045715E" w:rsidP="00FF7BAE">
    <w:pPr>
      <w:pStyle w:val="En-tte"/>
      <w:jc w:val="both"/>
    </w:pPr>
    <w:r>
      <w:rPr>
        <w:noProof/>
        <w:lang w:eastAsia="fr-FR"/>
      </w:rPr>
      <w:drawing>
        <wp:inline distT="0" distB="0" distL="0" distR="0">
          <wp:extent cx="5766435" cy="737235"/>
          <wp:effectExtent l="19050" t="0" r="5715" b="0"/>
          <wp:docPr id="1" name="Image 0" descr="bandeau outil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bandeau outil6.jpg"/>
                  <pic:cNvPicPr>
                    <a:picLocks noChangeAspect="1" noChangeArrowheads="1"/>
                  </pic:cNvPicPr>
                </pic:nvPicPr>
                <pic:blipFill>
                  <a:blip r:embed="rId1" cstate="print"/>
                  <a:srcRect/>
                  <a:stretch>
                    <a:fillRect/>
                  </a:stretch>
                </pic:blipFill>
                <pic:spPr bwMode="auto">
                  <a:xfrm>
                    <a:off x="0" y="0"/>
                    <a:ext cx="5766435" cy="737235"/>
                  </a:xfrm>
                  <a:prstGeom prst="rect">
                    <a:avLst/>
                  </a:prstGeom>
                  <a:noFill/>
                  <a:ln w="9525">
                    <a:noFill/>
                    <a:miter lim="800000"/>
                    <a:headEnd/>
                    <a:tailEnd/>
                  </a:ln>
                </pic:spPr>
              </pic:pic>
            </a:graphicData>
          </a:graphic>
        </wp:inline>
      </w:drawing>
    </w:r>
    <w:r w:rsidR="00FF7BAE">
      <w:t>OUTILS MOBILITE &amp; INSERTION</w:t>
    </w:r>
    <w:r w:rsidR="00FF7BAE">
      <w:tab/>
    </w:r>
    <w:r w:rsidR="00FF7BAE">
      <w:tab/>
      <w:t>ARGUMENTAIRE – PRESCRIPTEURS DE L’EMPLOI</w:t>
    </w:r>
  </w:p>
  <w:p w:rsidR="00FF7BAE" w:rsidRPr="00DD5823" w:rsidRDefault="00FF7BAE" w:rsidP="00FF7BAE">
    <w:pPr>
      <w:pStyle w:val="En-tte"/>
      <w:pBdr>
        <w:top w:val="single" w:sz="4" w:space="1" w:color="auto"/>
      </w:pBdr>
      <w:jc w:val="both"/>
      <w:rPr>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8E" w:rsidRDefault="0081638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33247C0"/>
    <w:lvl w:ilvl="0">
      <w:start w:val="1"/>
      <w:numFmt w:val="bullet"/>
      <w:pStyle w:val="Pucetableau"/>
      <w:lvlText w:val=""/>
      <w:lvlJc w:val="left"/>
      <w:pPr>
        <w:tabs>
          <w:tab w:val="num" w:pos="360"/>
        </w:tabs>
        <w:ind w:left="360" w:hanging="360"/>
      </w:pPr>
      <w:rPr>
        <w:rFonts w:ascii="Symbol" w:hAnsi="Symbol" w:hint="default"/>
      </w:rPr>
    </w:lvl>
  </w:abstractNum>
  <w:abstractNum w:abstractNumId="1">
    <w:nsid w:val="FFFFFFFE"/>
    <w:multiLevelType w:val="singleLevel"/>
    <w:tmpl w:val="173A7BF4"/>
    <w:lvl w:ilvl="0">
      <w:numFmt w:val="bullet"/>
      <w:lvlText w:val="*"/>
      <w:lvlJc w:val="left"/>
    </w:lvl>
  </w:abstractNum>
  <w:abstractNum w:abstractNumId="2">
    <w:nsid w:val="04B8323C"/>
    <w:multiLevelType w:val="hybridMultilevel"/>
    <w:tmpl w:val="DB806D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501CB2"/>
    <w:multiLevelType w:val="hybridMultilevel"/>
    <w:tmpl w:val="432444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3277E22"/>
    <w:multiLevelType w:val="hybridMultilevel"/>
    <w:tmpl w:val="6EF08A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1F07E6"/>
    <w:multiLevelType w:val="hybridMultilevel"/>
    <w:tmpl w:val="4420F9EE"/>
    <w:lvl w:ilvl="0" w:tplc="D958A16C">
      <w:start w:val="1"/>
      <w:numFmt w:val="bullet"/>
      <w:pStyle w:val="2me1eralina"/>
      <w:lvlText w:val="•"/>
      <w:lvlJc w:val="left"/>
      <w:pPr>
        <w:tabs>
          <w:tab w:val="num" w:pos="720"/>
        </w:tabs>
        <w:ind w:left="720" w:hanging="360"/>
      </w:pPr>
      <w:rPr>
        <w:rFonts w:ascii="Times New Roman" w:hAnsi="Times New Roman" w:hint="default"/>
      </w:rPr>
    </w:lvl>
    <w:lvl w:ilvl="1" w:tplc="2CE00A30" w:tentative="1">
      <w:start w:val="1"/>
      <w:numFmt w:val="bullet"/>
      <w:lvlText w:val="•"/>
      <w:lvlJc w:val="left"/>
      <w:pPr>
        <w:tabs>
          <w:tab w:val="num" w:pos="1440"/>
        </w:tabs>
        <w:ind w:left="1440" w:hanging="360"/>
      </w:pPr>
      <w:rPr>
        <w:rFonts w:ascii="Times New Roman" w:hAnsi="Times New Roman" w:hint="default"/>
      </w:rPr>
    </w:lvl>
    <w:lvl w:ilvl="2" w:tplc="0D70FE18" w:tentative="1">
      <w:start w:val="1"/>
      <w:numFmt w:val="bullet"/>
      <w:lvlText w:val="•"/>
      <w:lvlJc w:val="left"/>
      <w:pPr>
        <w:tabs>
          <w:tab w:val="num" w:pos="2160"/>
        </w:tabs>
        <w:ind w:left="2160" w:hanging="360"/>
      </w:pPr>
      <w:rPr>
        <w:rFonts w:ascii="Times New Roman" w:hAnsi="Times New Roman" w:hint="default"/>
      </w:rPr>
    </w:lvl>
    <w:lvl w:ilvl="3" w:tplc="757232BA" w:tentative="1">
      <w:start w:val="1"/>
      <w:numFmt w:val="bullet"/>
      <w:lvlText w:val="•"/>
      <w:lvlJc w:val="left"/>
      <w:pPr>
        <w:tabs>
          <w:tab w:val="num" w:pos="2880"/>
        </w:tabs>
        <w:ind w:left="2880" w:hanging="360"/>
      </w:pPr>
      <w:rPr>
        <w:rFonts w:ascii="Times New Roman" w:hAnsi="Times New Roman" w:hint="default"/>
      </w:rPr>
    </w:lvl>
    <w:lvl w:ilvl="4" w:tplc="627A8286" w:tentative="1">
      <w:start w:val="1"/>
      <w:numFmt w:val="bullet"/>
      <w:lvlText w:val="•"/>
      <w:lvlJc w:val="left"/>
      <w:pPr>
        <w:tabs>
          <w:tab w:val="num" w:pos="3600"/>
        </w:tabs>
        <w:ind w:left="3600" w:hanging="360"/>
      </w:pPr>
      <w:rPr>
        <w:rFonts w:ascii="Times New Roman" w:hAnsi="Times New Roman" w:hint="default"/>
      </w:rPr>
    </w:lvl>
    <w:lvl w:ilvl="5" w:tplc="E7E256BE" w:tentative="1">
      <w:start w:val="1"/>
      <w:numFmt w:val="bullet"/>
      <w:lvlText w:val="•"/>
      <w:lvlJc w:val="left"/>
      <w:pPr>
        <w:tabs>
          <w:tab w:val="num" w:pos="4320"/>
        </w:tabs>
        <w:ind w:left="4320" w:hanging="360"/>
      </w:pPr>
      <w:rPr>
        <w:rFonts w:ascii="Times New Roman" w:hAnsi="Times New Roman" w:hint="default"/>
      </w:rPr>
    </w:lvl>
    <w:lvl w:ilvl="6" w:tplc="14DECD72" w:tentative="1">
      <w:start w:val="1"/>
      <w:numFmt w:val="bullet"/>
      <w:lvlText w:val="•"/>
      <w:lvlJc w:val="left"/>
      <w:pPr>
        <w:tabs>
          <w:tab w:val="num" w:pos="5040"/>
        </w:tabs>
        <w:ind w:left="5040" w:hanging="360"/>
      </w:pPr>
      <w:rPr>
        <w:rFonts w:ascii="Times New Roman" w:hAnsi="Times New Roman" w:hint="default"/>
      </w:rPr>
    </w:lvl>
    <w:lvl w:ilvl="7" w:tplc="091AA194" w:tentative="1">
      <w:start w:val="1"/>
      <w:numFmt w:val="bullet"/>
      <w:lvlText w:val="•"/>
      <w:lvlJc w:val="left"/>
      <w:pPr>
        <w:tabs>
          <w:tab w:val="num" w:pos="5760"/>
        </w:tabs>
        <w:ind w:left="5760" w:hanging="360"/>
      </w:pPr>
      <w:rPr>
        <w:rFonts w:ascii="Times New Roman" w:hAnsi="Times New Roman" w:hint="default"/>
      </w:rPr>
    </w:lvl>
    <w:lvl w:ilvl="8" w:tplc="3818542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DF20A84"/>
    <w:multiLevelType w:val="hybridMultilevel"/>
    <w:tmpl w:val="56B0F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60275B"/>
    <w:multiLevelType w:val="hybridMultilevel"/>
    <w:tmpl w:val="343A0A30"/>
    <w:lvl w:ilvl="0" w:tplc="FFFFFFFF">
      <w:start w:val="1"/>
      <w:numFmt w:val="bullet"/>
      <w:pStyle w:val="2mealina"/>
      <w:lvlText w:val="–"/>
      <w:lvlJc w:val="left"/>
      <w:pPr>
        <w:tabs>
          <w:tab w:val="num" w:pos="4973"/>
        </w:tabs>
        <w:ind w:left="4973"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F9D47F6"/>
    <w:multiLevelType w:val="hybridMultilevel"/>
    <w:tmpl w:val="F9A4B8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14555A1"/>
    <w:multiLevelType w:val="hybridMultilevel"/>
    <w:tmpl w:val="85A691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9437342"/>
    <w:multiLevelType w:val="hybridMultilevel"/>
    <w:tmpl w:val="ED08F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F8E6BD5"/>
    <w:multiLevelType w:val="hybridMultilevel"/>
    <w:tmpl w:val="4324448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7"/>
  </w:num>
  <w:num w:numId="3">
    <w:abstractNumId w:val="1"/>
    <w:lvlOverride w:ilvl="0">
      <w:lvl w:ilvl="0">
        <w:numFmt w:val="bullet"/>
        <w:lvlText w:val=""/>
        <w:legacy w:legacy="1" w:legacySpace="0" w:legacyIndent="0"/>
        <w:lvlJc w:val="left"/>
        <w:rPr>
          <w:rFonts w:ascii="Wingdings" w:hAnsi="Wingdings" w:hint="default"/>
          <w:sz w:val="36"/>
        </w:rPr>
      </w:lvl>
    </w:lvlOverride>
  </w:num>
  <w:num w:numId="4">
    <w:abstractNumId w:val="9"/>
  </w:num>
  <w:num w:numId="5">
    <w:abstractNumId w:val="1"/>
    <w:lvlOverride w:ilvl="0">
      <w:lvl w:ilvl="0">
        <w:numFmt w:val="bullet"/>
        <w:lvlText w:val=""/>
        <w:legacy w:legacy="1" w:legacySpace="0" w:legacyIndent="0"/>
        <w:lvlJc w:val="left"/>
        <w:rPr>
          <w:rFonts w:ascii="Wingdings" w:hAnsi="Wingdings" w:hint="default"/>
          <w:sz w:val="48"/>
        </w:rPr>
      </w:lvl>
    </w:lvlOverride>
  </w:num>
  <w:num w:numId="6">
    <w:abstractNumId w:val="1"/>
    <w:lvlOverride w:ilvl="0">
      <w:lvl w:ilvl="0">
        <w:numFmt w:val="bullet"/>
        <w:lvlText w:val=""/>
        <w:legacy w:legacy="1" w:legacySpace="0" w:legacyIndent="0"/>
        <w:lvlJc w:val="left"/>
        <w:rPr>
          <w:rFonts w:ascii="Wingdings" w:hAnsi="Wingdings" w:hint="default"/>
          <w:sz w:val="40"/>
        </w:rPr>
      </w:lvl>
    </w:lvlOverride>
  </w:num>
  <w:num w:numId="7">
    <w:abstractNumId w:val="2"/>
  </w:num>
  <w:num w:numId="8">
    <w:abstractNumId w:val="1"/>
    <w:lvlOverride w:ilvl="0">
      <w:lvl w:ilvl="0">
        <w:numFmt w:val="bullet"/>
        <w:lvlText w:val="–"/>
        <w:legacy w:legacy="1" w:legacySpace="0" w:legacyIndent="0"/>
        <w:lvlJc w:val="left"/>
        <w:rPr>
          <w:rFonts w:ascii="Times" w:hAnsi="Times" w:hint="default"/>
          <w:sz w:val="40"/>
        </w:rPr>
      </w:lvl>
    </w:lvlOverride>
  </w:num>
  <w:num w:numId="9">
    <w:abstractNumId w:val="8"/>
  </w:num>
  <w:num w:numId="10">
    <w:abstractNumId w:val="11"/>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3"/>
  </w:num>
  <w:num w:numId="20">
    <w:abstractNumId w:val="0"/>
  </w:num>
  <w:num w:numId="21">
    <w:abstractNumId w:val="0"/>
  </w:num>
  <w:num w:numId="22">
    <w:abstractNumId w:val="0"/>
  </w:num>
  <w:num w:numId="23">
    <w:abstractNumId w:val="0"/>
  </w:num>
  <w:num w:numId="24">
    <w:abstractNumId w:val="6"/>
  </w:num>
  <w:num w:numId="25">
    <w:abstractNumId w:val="0"/>
  </w:num>
  <w:num w:numId="26">
    <w:abstractNumId w:val="0"/>
  </w:num>
  <w:num w:numId="27">
    <w:abstractNumId w:val="10"/>
  </w:num>
  <w:num w:numId="28">
    <w:abstractNumId w:val="4"/>
  </w:num>
  <w:num w:numId="29">
    <w:abstractNumId w:val="0"/>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C45A1B"/>
    <w:rsid w:val="000E77C9"/>
    <w:rsid w:val="0018548C"/>
    <w:rsid w:val="001B71E9"/>
    <w:rsid w:val="00214AB7"/>
    <w:rsid w:val="00236B02"/>
    <w:rsid w:val="003F52CB"/>
    <w:rsid w:val="0045715E"/>
    <w:rsid w:val="00496B2E"/>
    <w:rsid w:val="006D3F7F"/>
    <w:rsid w:val="0081638E"/>
    <w:rsid w:val="00824315"/>
    <w:rsid w:val="009404FC"/>
    <w:rsid w:val="00990C49"/>
    <w:rsid w:val="00C42D58"/>
    <w:rsid w:val="00FF7B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7BB"/>
    <w:pPr>
      <w:spacing w:before="240" w:after="200" w:line="276" w:lineRule="auto"/>
    </w:pPr>
    <w:rPr>
      <w:sz w:val="22"/>
      <w:szCs w:val="22"/>
      <w:lang w:eastAsia="en-US"/>
    </w:rPr>
  </w:style>
  <w:style w:type="paragraph" w:styleId="Titre1">
    <w:name w:val="heading 1"/>
    <w:basedOn w:val="Normal"/>
    <w:next w:val="Normal"/>
    <w:link w:val="Titre1Car"/>
    <w:uiPriority w:val="9"/>
    <w:qFormat/>
    <w:rsid w:val="004B30DE"/>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qFormat/>
    <w:rsid w:val="004B30DE"/>
    <w:pPr>
      <w:keepNext/>
      <w:keepLines/>
      <w:spacing w:before="200" w:after="0"/>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9"/>
    <w:qFormat/>
    <w:rsid w:val="004B30DE"/>
    <w:pPr>
      <w:widowControl w:val="0"/>
      <w:autoSpaceDE w:val="0"/>
      <w:autoSpaceDN w:val="0"/>
      <w:adjustRightInd w:val="0"/>
      <w:spacing w:before="0" w:after="0" w:line="240" w:lineRule="auto"/>
      <w:ind w:left="1800" w:hanging="360"/>
      <w:outlineLvl w:val="2"/>
    </w:pPr>
    <w:rPr>
      <w:rFonts w:ascii="Times New Roman" w:eastAsia="Times New Roman" w:hAnsi="Times New Roman"/>
      <w:b/>
      <w:bCs/>
      <w:color w:val="52311E"/>
      <w:sz w:val="40"/>
      <w:szCs w:val="4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45A1B"/>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5A1B"/>
    <w:rPr>
      <w:rFonts w:ascii="Tahoma" w:hAnsi="Tahoma" w:cs="Tahoma"/>
      <w:sz w:val="16"/>
      <w:szCs w:val="16"/>
    </w:rPr>
  </w:style>
  <w:style w:type="paragraph" w:customStyle="1" w:styleId="2me1eralina">
    <w:name w:val="2ème 1er alinéa"/>
    <w:basedOn w:val="Normal"/>
    <w:rsid w:val="00C45A1B"/>
    <w:pPr>
      <w:numPr>
        <w:numId w:val="1"/>
      </w:numPr>
      <w:spacing w:before="120" w:after="0" w:line="240" w:lineRule="auto"/>
      <w:jc w:val="both"/>
    </w:pPr>
    <w:rPr>
      <w:rFonts w:ascii="Helvetica" w:eastAsia="Times" w:hAnsi="Helvetica"/>
      <w:szCs w:val="20"/>
      <w:lang w:eastAsia="fr-FR"/>
    </w:rPr>
  </w:style>
  <w:style w:type="paragraph" w:customStyle="1" w:styleId="2mealina">
    <w:name w:val="2ème alinéa"/>
    <w:basedOn w:val="Normal"/>
    <w:rsid w:val="00C45A1B"/>
    <w:pPr>
      <w:numPr>
        <w:numId w:val="2"/>
      </w:numPr>
      <w:tabs>
        <w:tab w:val="clear" w:pos="4973"/>
        <w:tab w:val="num" w:pos="1418"/>
      </w:tabs>
      <w:spacing w:before="80" w:after="0" w:line="240" w:lineRule="auto"/>
      <w:ind w:left="1418" w:hanging="284"/>
      <w:jc w:val="both"/>
    </w:pPr>
    <w:rPr>
      <w:rFonts w:ascii="Helvetica" w:eastAsia="Times" w:hAnsi="Helvetica"/>
      <w:szCs w:val="20"/>
      <w:lang w:eastAsia="fr-FR"/>
    </w:rPr>
  </w:style>
  <w:style w:type="paragraph" w:styleId="En-tte">
    <w:name w:val="header"/>
    <w:basedOn w:val="Normal"/>
    <w:link w:val="En-tteCar"/>
    <w:uiPriority w:val="99"/>
    <w:semiHidden/>
    <w:unhideWhenUsed/>
    <w:rsid w:val="00C45A1B"/>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C45A1B"/>
  </w:style>
  <w:style w:type="paragraph" w:styleId="Pieddepage">
    <w:name w:val="footer"/>
    <w:basedOn w:val="Normal"/>
    <w:link w:val="PieddepageCar"/>
    <w:uiPriority w:val="99"/>
    <w:semiHidden/>
    <w:unhideWhenUsed/>
    <w:rsid w:val="00C45A1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semiHidden/>
    <w:rsid w:val="00C45A1B"/>
  </w:style>
  <w:style w:type="character" w:customStyle="1" w:styleId="Titre3Car">
    <w:name w:val="Titre 3 Car"/>
    <w:basedOn w:val="Policepardfaut"/>
    <w:link w:val="Titre3"/>
    <w:uiPriority w:val="9"/>
    <w:rsid w:val="004B30DE"/>
    <w:rPr>
      <w:rFonts w:ascii="Times New Roman" w:eastAsia="Times New Roman" w:hAnsi="Times New Roman" w:cs="Times New Roman"/>
      <w:b/>
      <w:bCs/>
      <w:color w:val="52311E"/>
      <w:sz w:val="40"/>
      <w:szCs w:val="40"/>
      <w:lang w:eastAsia="fr-FR"/>
    </w:rPr>
  </w:style>
  <w:style w:type="character" w:customStyle="1" w:styleId="Titre2Car">
    <w:name w:val="Titre 2 Car"/>
    <w:basedOn w:val="Policepardfaut"/>
    <w:link w:val="Titre2"/>
    <w:uiPriority w:val="9"/>
    <w:rsid w:val="004B30DE"/>
    <w:rPr>
      <w:rFonts w:ascii="Cambria" w:eastAsia="Times New Roman" w:hAnsi="Cambria" w:cs="Times New Roman"/>
      <w:b/>
      <w:bCs/>
      <w:color w:val="4F81BD"/>
      <w:sz w:val="26"/>
      <w:szCs w:val="26"/>
    </w:rPr>
  </w:style>
  <w:style w:type="character" w:customStyle="1" w:styleId="Titre1Car">
    <w:name w:val="Titre 1 Car"/>
    <w:basedOn w:val="Policepardfaut"/>
    <w:link w:val="Titre1"/>
    <w:uiPriority w:val="9"/>
    <w:rsid w:val="004B30DE"/>
    <w:rPr>
      <w:rFonts w:ascii="Cambria" w:eastAsia="Times New Roman" w:hAnsi="Cambria" w:cs="Times New Roman"/>
      <w:b/>
      <w:bCs/>
      <w:color w:val="365F91"/>
      <w:sz w:val="28"/>
      <w:szCs w:val="28"/>
    </w:rPr>
  </w:style>
  <w:style w:type="paragraph" w:styleId="Listecouleur-Accent1">
    <w:name w:val="Colorful List Accent 1"/>
    <w:basedOn w:val="Normal"/>
    <w:uiPriority w:val="34"/>
    <w:qFormat/>
    <w:rsid w:val="00EB63B4"/>
    <w:pPr>
      <w:ind w:left="720"/>
      <w:contextualSpacing/>
    </w:pPr>
  </w:style>
  <w:style w:type="paragraph" w:customStyle="1" w:styleId="Pucetableau">
    <w:name w:val="Puce tableau"/>
    <w:basedOn w:val="Normal"/>
    <w:rsid w:val="000C1714"/>
    <w:pPr>
      <w:numPr>
        <w:numId w:val="11"/>
      </w:numPr>
      <w:spacing w:before="120" w:after="120" w:line="240" w:lineRule="auto"/>
      <w:jc w:val="both"/>
    </w:pPr>
    <w:rPr>
      <w:rFonts w:ascii="Tahoma" w:eastAsia="Times New Roman" w:hAnsi="Tahoma" w:cs="Tahoma"/>
      <w:sz w:val="20"/>
      <w:szCs w:val="20"/>
      <w:lang w:eastAsia="fr-FR"/>
    </w:rPr>
  </w:style>
  <w:style w:type="table" w:styleId="Grilledutableau">
    <w:name w:val="Table Grid"/>
    <w:basedOn w:val="TableauNormal"/>
    <w:uiPriority w:val="59"/>
    <w:rsid w:val="0001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unhideWhenUsed/>
    <w:rsid w:val="003E2192"/>
    <w:rPr>
      <w:sz w:val="18"/>
      <w:szCs w:val="18"/>
    </w:rPr>
  </w:style>
  <w:style w:type="paragraph" w:styleId="Commentaire">
    <w:name w:val="annotation text"/>
    <w:basedOn w:val="Normal"/>
    <w:link w:val="CommentaireCar"/>
    <w:uiPriority w:val="99"/>
    <w:unhideWhenUsed/>
    <w:rsid w:val="003E2192"/>
    <w:rPr>
      <w:sz w:val="24"/>
      <w:szCs w:val="24"/>
    </w:rPr>
  </w:style>
  <w:style w:type="character" w:customStyle="1" w:styleId="CommentaireCar">
    <w:name w:val="Commentaire Car"/>
    <w:basedOn w:val="Policepardfaut"/>
    <w:link w:val="Commentaire"/>
    <w:uiPriority w:val="99"/>
    <w:rsid w:val="003E2192"/>
    <w:rPr>
      <w:sz w:val="24"/>
      <w:szCs w:val="24"/>
      <w:lang w:eastAsia="en-US"/>
    </w:rPr>
  </w:style>
  <w:style w:type="paragraph" w:styleId="Objetducommentaire">
    <w:name w:val="annotation subject"/>
    <w:basedOn w:val="Commentaire"/>
    <w:next w:val="Commentaire"/>
    <w:link w:val="ObjetducommentaireCar"/>
    <w:uiPriority w:val="99"/>
    <w:semiHidden/>
    <w:unhideWhenUsed/>
    <w:rsid w:val="00DE530A"/>
    <w:rPr>
      <w:b/>
      <w:bCs/>
      <w:sz w:val="20"/>
      <w:szCs w:val="20"/>
    </w:rPr>
  </w:style>
  <w:style w:type="character" w:customStyle="1" w:styleId="ObjetducommentaireCar">
    <w:name w:val="Objet du commentaire Car"/>
    <w:basedOn w:val="CommentaireCar"/>
    <w:link w:val="Objetducommentaire"/>
    <w:uiPriority w:val="99"/>
    <w:semiHidden/>
    <w:rsid w:val="00DE530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731</Words>
  <Characters>4026</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Aurelie DUBOUDIN</dc:creator>
  <cp:lastModifiedBy>Fred CEBN</cp:lastModifiedBy>
  <cp:revision>4</cp:revision>
  <cp:lastPrinted>2012-06-05T13:50:00Z</cp:lastPrinted>
  <dcterms:created xsi:type="dcterms:W3CDTF">2014-05-27T12:47:00Z</dcterms:created>
  <dcterms:modified xsi:type="dcterms:W3CDTF">2014-05-27T12:48:00Z</dcterms:modified>
</cp:coreProperties>
</file>